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1D9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>Описание</w:t>
      </w:r>
      <w:r w:rsidRPr="00F72957">
        <w:rPr>
          <w:sz w:val="28"/>
          <w:szCs w:val="28"/>
        </w:rPr>
        <w:t xml:space="preserve"> – тип речи, содержащий характеристику объекта путем перечисления и раскрытия его основных признаков. Цель описания – характеристика. Объект описания – какой-либо предмет или человек. Формула описания: описание = признак + признак + признак.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Описание как тип речи может использоваться в разных стилях речи. </w:t>
      </w:r>
      <w:r w:rsidRPr="00F72957">
        <w:rPr>
          <w:sz w:val="28"/>
          <w:szCs w:val="28"/>
        </w:rPr>
        <w:t xml:space="preserve">Научное описание – перечень признаков предмета, его свойства, поэтому в таком тексте преобладают именные конструкции (сочетания прилагательных и существительных вызывают в сознании конкретный образ.) Деловое описание – перечень примет разыскиваемого лица, пропавших вещей и т.п. В художественных </w:t>
      </w:r>
      <w:r>
        <w:rPr>
          <w:sz w:val="28"/>
          <w:szCs w:val="28"/>
        </w:rPr>
        <w:t>стиле описание используется наиболее часто и имеет много видов, жанров, а также ярких языковых способов выражения.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F72957">
        <w:rPr>
          <w:i/>
          <w:sz w:val="28"/>
          <w:szCs w:val="28"/>
        </w:rPr>
        <w:t>Описание арабской кухни</w:t>
      </w:r>
      <w:r>
        <w:rPr>
          <w:i/>
          <w:sz w:val="28"/>
          <w:szCs w:val="28"/>
        </w:rPr>
        <w:t>.</w:t>
      </w:r>
      <w:r w:rsidRPr="00F72957">
        <w:rPr>
          <w:i/>
          <w:sz w:val="28"/>
          <w:szCs w:val="28"/>
        </w:rPr>
        <w:t xml:space="preserve"> Что касается вторых блюд, то здесь предпочтение отдается тушеному и жареному мясу, курам, приготовленным в томате</w:t>
      </w:r>
      <w:r>
        <w:rPr>
          <w:i/>
          <w:sz w:val="28"/>
          <w:szCs w:val="28"/>
        </w:rPr>
        <w:t>,</w:t>
      </w:r>
      <w:r w:rsidRPr="00F72957">
        <w:rPr>
          <w:i/>
          <w:sz w:val="28"/>
          <w:szCs w:val="28"/>
        </w:rPr>
        <w:t xml:space="preserve"> и, конечно же, плову. В качестве гарнира, как правило, подают жареный картофель </w:t>
      </w:r>
      <w:r>
        <w:rPr>
          <w:i/>
          <w:sz w:val="28"/>
          <w:szCs w:val="28"/>
        </w:rPr>
        <w:t>«</w:t>
      </w:r>
      <w:r w:rsidRPr="00F72957">
        <w:rPr>
          <w:i/>
          <w:sz w:val="28"/>
          <w:szCs w:val="28"/>
        </w:rPr>
        <w:t>фри</w:t>
      </w:r>
      <w:r>
        <w:rPr>
          <w:i/>
          <w:sz w:val="28"/>
          <w:szCs w:val="28"/>
        </w:rPr>
        <w:t>»</w:t>
      </w:r>
      <w:r w:rsidRPr="00F72957">
        <w:rPr>
          <w:i/>
          <w:sz w:val="28"/>
          <w:szCs w:val="28"/>
        </w:rPr>
        <w:t xml:space="preserve"> или припущенный рис, заправленный томатным пюре или пассированным луком. В плове по-арабски, кроме хорошо знакомых мяса (говядины) и риса, вам встретится обжаренная во фритюре капуста – цветная или белокочанная, а также изюм, инжир или миндаль.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Черты описания: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2957">
        <w:rPr>
          <w:sz w:val="28"/>
          <w:szCs w:val="28"/>
        </w:rPr>
        <w:t>татичность (например, в описании арабской кухни перечислены ее характерные черты, и эта картина статична, в ней нет никакого движения)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писание предмета происходит через описание его качеств или через характеристику действий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2957">
        <w:rPr>
          <w:sz w:val="28"/>
          <w:szCs w:val="28"/>
        </w:rPr>
        <w:t>мысловая значимость детали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дновременность признаков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F72957">
        <w:rPr>
          <w:sz w:val="28"/>
          <w:szCs w:val="28"/>
        </w:rPr>
        <w:t>огичность – на логической основе должно строиться не только рассуждение, но и описание и повествование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72957">
        <w:rPr>
          <w:sz w:val="28"/>
          <w:szCs w:val="28"/>
        </w:rPr>
        <w:t>ризнак может убывать или возрастать: описание идет от простого к сложному, от самого значимого к менее значимому, от общего к конкретному.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F72957">
        <w:rPr>
          <w:sz w:val="28"/>
          <w:szCs w:val="28"/>
        </w:rPr>
        <w:t>Жанры описания</w:t>
      </w:r>
      <w:r>
        <w:rPr>
          <w:sz w:val="28"/>
          <w:szCs w:val="28"/>
        </w:rPr>
        <w:t xml:space="preserve">. </w:t>
      </w:r>
      <w:r w:rsidRPr="00F72957">
        <w:rPr>
          <w:sz w:val="28"/>
          <w:szCs w:val="28"/>
        </w:rPr>
        <w:t xml:space="preserve">Описание человека – его внешности, физического и эмоционального состояния. Булгаков М. «Мастер и Маргарита»: </w:t>
      </w:r>
      <w:r w:rsidRPr="00F72957">
        <w:rPr>
          <w:i/>
          <w:sz w:val="28"/>
          <w:szCs w:val="28"/>
        </w:rPr>
        <w:t>Сбоку всех летел, блистая сталью доспехов, Азазелло. Луна изменил</w:t>
      </w:r>
      <w:r>
        <w:rPr>
          <w:i/>
          <w:sz w:val="28"/>
          <w:szCs w:val="28"/>
        </w:rPr>
        <w:t>а</w:t>
      </w:r>
      <w:r w:rsidRPr="00F72957">
        <w:rPr>
          <w:i/>
          <w:sz w:val="28"/>
          <w:szCs w:val="28"/>
        </w:rPr>
        <w:t xml:space="preserve"> и его лицо. Исчез бесследно нелепый безобразный клык, и </w:t>
      </w:r>
      <w:proofErr w:type="spellStart"/>
      <w:r w:rsidRPr="00F72957">
        <w:rPr>
          <w:i/>
          <w:sz w:val="28"/>
          <w:szCs w:val="28"/>
        </w:rPr>
        <w:t>кривоглазие</w:t>
      </w:r>
      <w:proofErr w:type="spellEnd"/>
      <w:r w:rsidRPr="00F72957">
        <w:rPr>
          <w:i/>
          <w:sz w:val="28"/>
          <w:szCs w:val="28"/>
        </w:rPr>
        <w:t xml:space="preserve"> оказалось фальшивым. Оба глаза Азазелло были одинаковые, пустые и черные, а лицо белое и холодное. Теперь Азазелло летел в своем настоящем виде, как демон пустыни, демон-убийца.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Характерные черты описания человека: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72957">
        <w:rPr>
          <w:sz w:val="28"/>
          <w:szCs w:val="28"/>
        </w:rPr>
        <w:t>ризнаки могут обозначать временные и постоянные свойства (внешние черты: цвет глаз,</w:t>
      </w:r>
      <w:r>
        <w:rPr>
          <w:sz w:val="28"/>
          <w:szCs w:val="28"/>
        </w:rPr>
        <w:t xml:space="preserve"> волосы, улыбка,</w:t>
      </w:r>
      <w:r w:rsidRPr="00F72957">
        <w:rPr>
          <w:sz w:val="28"/>
          <w:szCs w:val="28"/>
        </w:rPr>
        <w:t xml:space="preserve"> рост</w:t>
      </w:r>
      <w:r>
        <w:rPr>
          <w:sz w:val="28"/>
          <w:szCs w:val="28"/>
        </w:rPr>
        <w:t>, телосложение и т.д.</w:t>
      </w:r>
      <w:r w:rsidRPr="00F72957">
        <w:rPr>
          <w:sz w:val="28"/>
          <w:szCs w:val="28"/>
        </w:rPr>
        <w:t>) и внутренние качества (характер человека, его увлечения)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сновное внимание уделяется связи внешнего и внутреннего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72957">
        <w:rPr>
          <w:sz w:val="28"/>
          <w:szCs w:val="28"/>
        </w:rPr>
        <w:t xml:space="preserve">спользуется лексика тематической группы </w:t>
      </w:r>
      <w:r>
        <w:rPr>
          <w:sz w:val="28"/>
          <w:szCs w:val="28"/>
        </w:rPr>
        <w:t>«</w:t>
      </w:r>
      <w:r w:rsidRPr="00F72957">
        <w:rPr>
          <w:sz w:val="28"/>
          <w:szCs w:val="28"/>
        </w:rPr>
        <w:t>части тела</w:t>
      </w:r>
      <w:r>
        <w:rPr>
          <w:sz w:val="28"/>
          <w:szCs w:val="28"/>
        </w:rPr>
        <w:t>»</w:t>
      </w:r>
      <w:r w:rsidRPr="00F72957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F72957">
        <w:rPr>
          <w:sz w:val="28"/>
          <w:szCs w:val="28"/>
        </w:rPr>
        <w:t>одежда</w:t>
      </w:r>
      <w:r>
        <w:rPr>
          <w:sz w:val="28"/>
          <w:szCs w:val="28"/>
        </w:rPr>
        <w:t>»</w:t>
      </w:r>
      <w:r w:rsidRPr="00F72957">
        <w:rPr>
          <w:sz w:val="28"/>
          <w:szCs w:val="28"/>
        </w:rPr>
        <w:t>.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Описание пространства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72957">
        <w:rPr>
          <w:sz w:val="28"/>
          <w:szCs w:val="28"/>
        </w:rPr>
        <w:t>интерьер</w:t>
      </w:r>
      <w:r>
        <w:rPr>
          <w:sz w:val="28"/>
          <w:szCs w:val="28"/>
        </w:rPr>
        <w:t>а)</w:t>
      </w:r>
      <w:r w:rsidRPr="00F72957">
        <w:rPr>
          <w:sz w:val="28"/>
          <w:szCs w:val="28"/>
        </w:rPr>
        <w:t xml:space="preserve">. </w:t>
      </w:r>
      <w:r>
        <w:rPr>
          <w:sz w:val="28"/>
          <w:szCs w:val="28"/>
        </w:rPr>
        <w:t>Томас Хьюз</w:t>
      </w:r>
      <w:r w:rsidRPr="00F72957">
        <w:rPr>
          <w:sz w:val="28"/>
          <w:szCs w:val="28"/>
        </w:rPr>
        <w:t xml:space="preserve"> «</w:t>
      </w:r>
      <w:r>
        <w:rPr>
          <w:sz w:val="28"/>
          <w:szCs w:val="28"/>
        </w:rPr>
        <w:t>Школьные годы Тома Брауна</w:t>
      </w:r>
      <w:r w:rsidRPr="00F72957">
        <w:rPr>
          <w:sz w:val="28"/>
          <w:szCs w:val="28"/>
        </w:rPr>
        <w:t xml:space="preserve">»: </w:t>
      </w:r>
      <w:r>
        <w:rPr>
          <w:sz w:val="28"/>
          <w:szCs w:val="28"/>
        </w:rPr>
        <w:t>«</w:t>
      </w:r>
      <w:r w:rsidRPr="005C6AFA">
        <w:rPr>
          <w:i/>
          <w:sz w:val="28"/>
          <w:szCs w:val="28"/>
        </w:rPr>
        <w:t xml:space="preserve">Коттедж фермера в целом был очень похож на жильё тех крестьян, </w:t>
      </w:r>
      <w:r w:rsidRPr="005C6AFA">
        <w:rPr>
          <w:i/>
          <w:sz w:val="28"/>
          <w:szCs w:val="28"/>
        </w:rPr>
        <w:lastRenderedPageBreak/>
        <w:t>что побогаче. Уютный уголок у камина с парой стульев и небольшим ковриком перед очагом, старое ружье и пара шпор над каминной полкой; буфет, на полках которого стояли блестящие оловянные тарелки и глиняная посуда; старый ореховый стол, несколько стульев и скамеек; на стенах несколько вышивок в рамках, пара старых гравюр да книжная полка с дюжиной томов, - вот, собственно, и вся обстановка</w:t>
      </w:r>
      <w:r>
        <w:rPr>
          <w:sz w:val="28"/>
          <w:szCs w:val="28"/>
        </w:rPr>
        <w:t>»</w:t>
      </w:r>
      <w:r w:rsidRPr="00F72957">
        <w:rPr>
          <w:i/>
          <w:sz w:val="28"/>
          <w:szCs w:val="28"/>
        </w:rPr>
        <w:t xml:space="preserve">.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Характерные черты описания предмета и интерьера: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писывается взаимное расположение предметов (столики перед диваном и зеркалом)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F72957">
        <w:rPr>
          <w:sz w:val="28"/>
          <w:szCs w:val="28"/>
        </w:rPr>
        <w:t>казываются расстояния (далеко / близко)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72957">
        <w:rPr>
          <w:sz w:val="28"/>
          <w:szCs w:val="28"/>
        </w:rPr>
        <w:t>сновное внимание уделяется внешним признакам предметов</w:t>
      </w:r>
      <w:r>
        <w:rPr>
          <w:sz w:val="28"/>
          <w:szCs w:val="28"/>
        </w:rPr>
        <w:t>;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72957">
        <w:rPr>
          <w:sz w:val="28"/>
          <w:szCs w:val="28"/>
        </w:rPr>
        <w:t>спо</w:t>
      </w:r>
      <w:r>
        <w:rPr>
          <w:sz w:val="28"/>
          <w:szCs w:val="28"/>
        </w:rPr>
        <w:t>льзуется лексика группы «мебель»</w:t>
      </w:r>
      <w:r w:rsidRPr="00F72957">
        <w:rPr>
          <w:sz w:val="28"/>
          <w:szCs w:val="28"/>
        </w:rPr>
        <w:t>.</w:t>
      </w:r>
    </w:p>
    <w:p w:rsidR="000911D9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Следующий жанр описания – пейзаж. </w:t>
      </w:r>
      <w:r>
        <w:rPr>
          <w:sz w:val="28"/>
          <w:szCs w:val="28"/>
        </w:rPr>
        <w:t xml:space="preserve">Это один из видов художественного описания, основной предмет изображения в котором – природа, город или архитектурный комплекс. В литературе целью пейзажа является раскрытие героя, противопоставление окружающего мира человеческим убеждениям. </w:t>
      </w:r>
      <w:r w:rsidRPr="00F72957">
        <w:rPr>
          <w:sz w:val="28"/>
          <w:szCs w:val="28"/>
        </w:rPr>
        <w:t>В художественной литературе описание внешнего мира действительности обычно соотносится с внутренним состоянием персонажа</w:t>
      </w:r>
      <w:r>
        <w:rPr>
          <w:sz w:val="28"/>
          <w:szCs w:val="28"/>
        </w:rPr>
        <w:t>.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Толстой Л. «Война и мир»: «На краю дороги стоял дуб. Он была, вероятно, в десять раз старше берез, составлявших лес, в десять раз толще и в два раза выше каждой березы. Это был огромный, в два обхвата дуб, с обломанными ветками и корой, заросшей старыми болячками. С огромными, неуклюже, несимметрично растопыренными корявыми руками и пальцами, он старым, сердитым и презрительным уродом стоял между улыбающимися березами. Только он один не хотел подчиниться обаянию весны и не хотел видеть ни весны, ни солнца. Целый ряд мыслей, безнадежных, но грустно-приятных, в связи с этим дубом возник в душе князя Андрея. Во время этого путешествия он как будто вновь обдумал всю свою жизнь и пришел к тому же успокоительному и безнадежному заключению, что ему начинать ничего было не надо, что он должен доживать свою жизнь, не делая зла, не тревожась и ничего не желая…». </w:t>
      </w:r>
    </w:p>
    <w:p w:rsidR="000911D9" w:rsidRPr="00F72957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Несмотря на то, что картина природы может складываться из признаков, обозначающих видимое, наблюдаемое движение в природе (снежинки забивают глаза, деревья раскачиваются), в сознании человека эти признаки являются статичными.</w:t>
      </w: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Признаки могут обозначать временные явления и постоянные свойства (вообще свойственные тому или иному времени года, например, осени).</w:t>
      </w:r>
    </w:p>
    <w:p w:rsidR="000911D9" w:rsidRDefault="000911D9" w:rsidP="000911D9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Языковые признаки описания. Как правило, в описании нет сюжета или он не играет важной роли. Используются слова, которые передают отношение автора: очаровательный, великолепный, бесстрашный, бестолковый, непутевый. При описании предмета рассматриваются количественные характеристики, размер, цвет. Используются глаголы настоящего времени несовершенного вида; предложения, осложненные однородными определениями, вводными словами. </w:t>
      </w:r>
    </w:p>
    <w:p w:rsidR="00815960" w:rsidRDefault="00815960" w:rsidP="000911D9">
      <w:pPr>
        <w:shd w:val="clear" w:color="auto" w:fill="FFFFFF"/>
        <w:ind w:firstLine="567"/>
        <w:jc w:val="both"/>
        <w:rPr>
          <w:sz w:val="28"/>
          <w:szCs w:val="28"/>
        </w:rPr>
      </w:pPr>
      <w:bookmarkStart w:id="0" w:name="_GoBack"/>
      <w:bookmarkEnd w:id="0"/>
    </w:p>
    <w:sectPr w:rsidR="00815960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AAA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1D9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2AAA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13B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5960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2D01B-9FD9-45DC-91DB-78C864DE8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1D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807</Words>
  <Characters>4604</Characters>
  <Application>Microsoft Office Word</Application>
  <DocSecurity>0</DocSecurity>
  <Lines>38</Lines>
  <Paragraphs>10</Paragraphs>
  <ScaleCrop>false</ScaleCrop>
  <Company/>
  <LinksUpToDate>false</LinksUpToDate>
  <CharactersWithSpaces>5401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dcterms:created xsi:type="dcterms:W3CDTF">2019-10-23T03:58:00Z</dcterms:created>
  <dcterms:modified xsi:type="dcterms:W3CDTF">2019-10-23T06:49:00Z</dcterms:modified>
</cp:coreProperties>
</file>